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我校拟采用询价方式采购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在河南省基础教育服务平台进行招生宣传推广设计服务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项目，预算金额6.1万元，涉及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版面设计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微信头条设计、软文设计、发布推广、网站版面投放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详细采购计划见采购计划书，有意向的单位请自本公告发布3日内（截止日期202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日下午5：30）携带身份证、营业执照、委托书等资料到校领取采购计划，联系人：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eastAsia="zh-CN"/>
        </w:rPr>
        <w:t>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老师，联系电话：67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637798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225" w:beforeAutospacing="0" w:after="225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本项目开标日期为202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color="auto" w:fill="FFFFFF"/>
        </w:rPr>
        <w:t>7日上午10：00。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ZjNkMTA3M2NmMjVhMzFhNmIxZmI5MTIwOWU4ZTIifQ=="/>
  </w:docVars>
  <w:rsids>
    <w:rsidRoot w:val="00000000"/>
    <w:rsid w:val="2FA632A6"/>
    <w:rsid w:val="426251EC"/>
    <w:rsid w:val="551A6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2024-04-15T02:23:01Z</dcterms:created>
  <dc:creator>Administrator</dc:creator>
  <cp:lastModifiedBy>李保华</cp:lastModifiedBy>
  <dcterms:modified xsi:type="dcterms:W3CDTF">2024-04-15T07:10:54Z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9979985365E345FE929BDA59F5CF144A_13</vt:lpwstr>
  </property>
</Properties>
</file>