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rPr>
          <w:rFonts w:hint="eastAsia"/>
          <w:sz w:val="28"/>
          <w:szCs w:val="28"/>
          <w:lang w:val="en-US" w:eastAsia="zh-CN"/>
        </w:rPr>
      </w:pPr>
    </w:p>
    <w:p>
      <w:pPr>
        <w:ind w:firstLine="420" w:firstLineChars="200"/>
        <w:rPr>
          <w:rFonts w:hint="eastAsia" w:eastAsiaTheme="minorEastAsia"/>
          <w:lang w:eastAsia="zh-CN"/>
        </w:rPr>
      </w:pPr>
      <w:r>
        <w:rPr>
          <w:rFonts w:hint="eastAsia" w:eastAsiaTheme="minorEastAsia"/>
          <w:lang w:eastAsia="zh-CN"/>
        </w:rPr>
        <w:drawing>
          <wp:inline distT="0" distB="0" distL="114300" distR="114300">
            <wp:extent cx="4563110" cy="2758440"/>
            <wp:effectExtent l="0" t="0" r="8890" b="3810"/>
            <wp:docPr id="3" name="图片 3" descr="8d8ecafe8900400cb52d3d313bb14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d8ecafe8900400cb52d3d313bb14b2"/>
                    <pic:cNvPicPr>
                      <a:picLocks noChangeAspect="1"/>
                    </pic:cNvPicPr>
                  </pic:nvPicPr>
                  <pic:blipFill>
                    <a:blip r:embed="rId4"/>
                    <a:stretch>
                      <a:fillRect/>
                    </a:stretch>
                  </pic:blipFill>
                  <pic:spPr>
                    <a:xfrm>
                      <a:off x="0" y="0"/>
                      <a:ext cx="4563110" cy="2758440"/>
                    </a:xfrm>
                    <a:prstGeom prst="rect">
                      <a:avLst/>
                    </a:prstGeom>
                  </pic:spPr>
                </pic:pic>
              </a:graphicData>
            </a:graphic>
          </wp:inline>
        </w:drawing>
      </w:r>
    </w:p>
    <w:p>
      <w:pPr>
        <w:ind w:firstLine="420" w:firstLineChars="200"/>
        <w:jc w:val="center"/>
        <w:rPr>
          <w:rFonts w:hint="default" w:eastAsiaTheme="minorEastAsia"/>
          <w:lang w:val="en-US" w:eastAsia="zh-CN"/>
        </w:rPr>
      </w:pPr>
      <w:r>
        <w:rPr>
          <w:rFonts w:hint="eastAsia"/>
          <w:lang w:val="en-US" w:eastAsia="zh-CN"/>
        </w:rPr>
        <w:t>刘奇超老师做交流发言</w:t>
      </w:r>
    </w:p>
    <w:p>
      <w:pPr>
        <w:ind w:firstLine="420" w:firstLineChars="200"/>
        <w:rPr>
          <w:rFonts w:hint="eastAsia" w:eastAsiaTheme="minorEastAsia"/>
          <w:lang w:eastAsia="zh-CN"/>
        </w:rPr>
      </w:pPr>
      <w:r>
        <w:rPr>
          <w:rFonts w:hint="eastAsia" w:eastAsiaTheme="minorEastAsia"/>
          <w:lang w:eastAsia="zh-CN"/>
        </w:rPr>
        <w:drawing>
          <wp:inline distT="0" distB="0" distL="114300" distR="114300">
            <wp:extent cx="4598035" cy="2675890"/>
            <wp:effectExtent l="0" t="0" r="12065" b="10160"/>
            <wp:docPr id="2" name="图片 2" descr="c99bbf22f391a71ae1377deb37837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99bbf22f391a71ae1377deb37837cc"/>
                    <pic:cNvPicPr>
                      <a:picLocks noChangeAspect="1"/>
                    </pic:cNvPicPr>
                  </pic:nvPicPr>
                  <pic:blipFill>
                    <a:blip r:embed="rId5"/>
                    <a:srcRect t="14413" b="10924"/>
                    <a:stretch>
                      <a:fillRect/>
                    </a:stretch>
                  </pic:blipFill>
                  <pic:spPr>
                    <a:xfrm>
                      <a:off x="0" y="0"/>
                      <a:ext cx="4598035" cy="2675890"/>
                    </a:xfrm>
                    <a:prstGeom prst="rect">
                      <a:avLst/>
                    </a:prstGeom>
                  </pic:spPr>
                </pic:pic>
              </a:graphicData>
            </a:graphic>
          </wp:inline>
        </w:drawing>
      </w:r>
    </w:p>
    <w:p>
      <w:pPr>
        <w:ind w:firstLine="420" w:firstLineChars="200"/>
        <w:jc w:val="center"/>
        <w:rPr>
          <w:rFonts w:hint="default"/>
          <w:lang w:val="en-US" w:eastAsia="zh-CN"/>
        </w:rPr>
      </w:pPr>
      <w:r>
        <w:rPr>
          <w:rFonts w:hint="eastAsia"/>
          <w:lang w:val="en-US" w:eastAsia="zh-CN"/>
        </w:rPr>
        <w:t>郑州市中等职业学校各校学科负责人合影</w:t>
      </w:r>
    </w:p>
    <w:p>
      <w:pPr>
        <w:ind w:firstLine="640" w:firstLineChars="200"/>
        <w:rPr>
          <w:rFonts w:hint="eastAsia"/>
          <w:sz w:val="32"/>
          <w:szCs w:val="32"/>
          <w:lang w:val="en-US" w:eastAsia="zh-CN"/>
        </w:rPr>
      </w:pPr>
      <w:r>
        <w:rPr>
          <w:rFonts w:hint="eastAsia"/>
          <w:sz w:val="32"/>
          <w:szCs w:val="32"/>
          <w:lang w:val="en-US" w:eastAsia="zh-CN"/>
        </w:rPr>
        <w:t>9月25日上午9点整，2024年郑州市中职学校计算机类及信息技术学科教研会在郑州市金融学校举行，会议由郑州市教育科学规划与评估中心职业教育教学研究室王蒙主持，郑州市中等职业学校中心教研组成员及各学校学科负责人参会，</w:t>
      </w:r>
      <w:r>
        <w:rPr>
          <w:rFonts w:hint="default"/>
          <w:sz w:val="32"/>
          <w:szCs w:val="32"/>
          <w:lang w:val="en-US" w:eastAsia="zh-CN"/>
        </w:rPr>
        <w:t>河南省</w:t>
      </w:r>
      <w:r>
        <w:rPr>
          <w:rFonts w:hint="eastAsia"/>
          <w:sz w:val="32"/>
          <w:szCs w:val="32"/>
          <w:lang w:val="en-US" w:eastAsia="zh-CN"/>
        </w:rPr>
        <w:t>职业院校省级名师刘奇超受邀在教研会上作“全国职业院校技能大赛对中职教学的引领和导向作用”专题报告。</w:t>
      </w:r>
    </w:p>
    <w:p>
      <w:pPr>
        <w:ind w:firstLine="640" w:firstLineChars="200"/>
        <w:rPr>
          <w:rFonts w:hint="eastAsia"/>
          <w:sz w:val="32"/>
          <w:szCs w:val="32"/>
          <w:lang w:val="en-US" w:eastAsia="zh-CN"/>
        </w:rPr>
      </w:pPr>
      <w:r>
        <w:rPr>
          <w:rFonts w:hint="eastAsia"/>
          <w:sz w:val="32"/>
          <w:szCs w:val="32"/>
          <w:lang w:val="en-US" w:eastAsia="zh-CN"/>
        </w:rPr>
        <w:t>刘奇超老师首先从文化内涵、管理机制、师资力量、竞赛特色等几个方面介绍了郑州市电子信息工程学校的基本情况，然后从“制度建设”、“文化引领”、“平台搭建”、“竞赛体系”、“第二课堂”等几个方面对郑州市电子信息工程学校参加全国职业院校技能大赛的具体做法作经验分享与交流，并将技能大赛对教育教学的引领和导向作用做了剖析和分享。讲座获得了参会的郑州市各中等职业学校计算机类和信息技术学科负责人一致好评。</w:t>
      </w:r>
    </w:p>
    <w:p>
      <w:pPr>
        <w:ind w:firstLine="640" w:firstLineChars="200"/>
        <w:rPr>
          <w:rFonts w:hint="default"/>
          <w:sz w:val="32"/>
          <w:szCs w:val="32"/>
          <w:lang w:val="en-US" w:eastAsia="zh-CN"/>
        </w:rPr>
      </w:pPr>
      <w:r>
        <w:rPr>
          <w:rFonts w:hint="eastAsia"/>
          <w:sz w:val="32"/>
          <w:szCs w:val="32"/>
          <w:lang w:val="en-US" w:eastAsia="zh-CN"/>
        </w:rPr>
        <w:t>据悉，郑州市电子信息工程学校2016至2023年期间参加全国职业院校技能大赛共获得一等奖12项，二等奖34项，三等奖20项，竞赛成绩在全国级河南省同类院校中处于领先地位。</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3286543"/>
    <w:rsid w:val="0328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2024-09-25T13:52:00Z</dcterms:created>
  <dc:creator>赵国宁</dc:creator>
  <cp:lastModifiedBy>赵国宁</cp:lastModifiedBy>
  <dcterms:modified xsi:type="dcterms:W3CDTF">2024-09-25T13:52:31Z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175513A6B5604B048F4AB18826B7B088_11</vt:lpwstr>
  </property>
</Properties>
</file>