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5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963"/>
        <w:gridCol w:w="1226"/>
        <w:gridCol w:w="102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授予部门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教学改革</w:t>
            </w: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以技能大赛为导向的编程素养培养模式探究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中职数据恢复实用人才培养资源开发研究.河南省职业教育教学改革研究与实践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2020.11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省级重点项目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中职技能大赛背景下“双师型教师”培养模式的探究与实践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2023.09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中职计算机网络技术专业“教、赛一体化”实践教学研究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省级重点项目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中职技能大赛背景下“双师型教师”培养模式的探究与实践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2023.09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省级重点项目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1+x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证书制度下专业群建设的研究与实践--以中职计算机网络专业群为例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省级规划项目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数字化赋能中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职计算机类专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业赛教融合研究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省级规划项目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课程与教材</w:t>
            </w: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河南省优质课一等奖《网络综合布线》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2020.03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省级优质课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河南省优质课一等奖《消费者的需要》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2021.09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省级优质课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河南省优质课二等奖《初识图层蒙版》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省级优质课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郑州市优质课一等奖《制作双绞线》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2021.12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市级优质课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郑州市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网络综合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布线技术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2023.06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国规教材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access数据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库应用技术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2022.3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国规教材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传感器与传感网技术应用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2022.3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省规教材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传感器原理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与应用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2022.8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省规教材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河南省物联网应用技术产教融合专业联盟副理事长单位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2021.5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河南省骨干职业教育集团副理事长单位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2022.9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核心期刊论文《全分布式网络的船舶机舱监控系统》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2010.10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舰艇科学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中职学校智慧课堂教学模式的探索与实践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2021.4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信息与电脑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中职网络直播课堂教学的探索与实践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2021.4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计算机产品与流通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大数据时代人工智能在计算机网络技术中应用研究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2022-5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网络技术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基于工作过程的中职PLC编程课程设计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2023-4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电脑知识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基于知识树的翻转课堂资源建设—以&lt;数据恢复技术课程&gt;为例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2020.7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齐齐哈尔师范高等专科学校学报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技能大赛导向下的PBL教学法在中职程序设计课程中的应用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2022.9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产业与科技论坛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职业技能大赛推进教师提升创新能力的研究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CN级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《三悦文摘·育学刊》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发明专利-一种基于5G网络的工业物联网数据采集箱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2023-7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国家知识</w:t>
            </w:r>
          </w:p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软著《基于CUDA加速的移动端人脸持续识别系统》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2022.6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tabs>
                <w:tab w:val="left" w:pos="996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国家版权局</w:t>
            </w:r>
          </w:p>
        </w:tc>
      </w:tr>
    </w:tbl>
    <w:p>
      <w:pPr>
        <w:pStyle w:val="2"/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2E122E80"/>
    <w:rsid w:val="54DC20D0"/>
    <w:rsid w:val="59FD5EB2"/>
    <w:rsid w:val="784748E4"/>
    <w:rsid w:val="7E2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A5E2B859CE904D8FA1EC45CCE3D17C50_13</vt:lpwstr>
  </property>
</Properties>
</file>