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进入20世纪后，</w:t>
      </w:r>
      <w:r>
        <w:rPr>
          <w:rFonts w:hint="eastAsia" w:asciiTheme="minorEastAsia" w:hAnsiTheme="minorEastAsia" w:cstheme="minorEastAsia"/>
          <w:sz w:val="28"/>
          <w:szCs w:val="28"/>
          <w:lang w:val="zh-CN" w:eastAsia="zh-CN"/>
        </w:rPr>
        <w:t>计算机网络技术发展迅猛</w:t>
      </w:r>
      <w:r>
        <w:rPr>
          <w:rFonts w:hint="eastAsia" w:asciiTheme="minorEastAsia" w:hAnsiTheme="minorEastAsia" w:cstheme="minorEastAsia"/>
          <w:sz w:val="28"/>
          <w:szCs w:val="28"/>
          <w:lang w:val="en-US" w:eastAsia="zh-CN"/>
        </w:rPr>
        <w:t>，</w:t>
      </w:r>
      <w:r>
        <w:rPr>
          <w:rFonts w:hint="eastAsia" w:asciiTheme="minorEastAsia" w:hAnsiTheme="minorEastAsia" w:cstheme="minorEastAsia"/>
          <w:sz w:val="28"/>
          <w:szCs w:val="28"/>
          <w:lang w:val="zh-CN" w:eastAsia="zh-CN"/>
        </w:rPr>
        <w:t>深入各行各业，国家对</w:t>
      </w:r>
      <w:r>
        <w:rPr>
          <w:rFonts w:hint="eastAsia" w:asciiTheme="minorEastAsia" w:hAnsiTheme="minorEastAsia" w:cstheme="minorEastAsia"/>
          <w:sz w:val="28"/>
          <w:szCs w:val="28"/>
          <w:lang w:val="en-US" w:eastAsia="zh-CN"/>
        </w:rPr>
        <w:t>中等</w:t>
      </w:r>
      <w:r>
        <w:rPr>
          <w:rFonts w:hint="eastAsia" w:asciiTheme="minorEastAsia" w:hAnsiTheme="minorEastAsia" w:cstheme="minorEastAsia"/>
          <w:sz w:val="28"/>
          <w:szCs w:val="28"/>
          <w:lang w:val="zh-CN" w:eastAsia="zh-CN"/>
        </w:rPr>
        <w:t>网络技术人才</w:t>
      </w:r>
      <w:r>
        <w:rPr>
          <w:rFonts w:hint="eastAsia" w:asciiTheme="minorEastAsia" w:hAnsiTheme="minorEastAsia" w:cstheme="minorEastAsia"/>
          <w:sz w:val="28"/>
          <w:szCs w:val="28"/>
          <w:lang w:val="en-US" w:eastAsia="zh-CN"/>
        </w:rPr>
        <w:t>的需求数量远远大于各级院校的输出数量。</w:t>
      </w:r>
      <w:r>
        <w:rPr>
          <w:rFonts w:hint="eastAsia" w:asciiTheme="minorEastAsia" w:hAnsiTheme="minorEastAsia" w:cstheme="minorEastAsia"/>
          <w:sz w:val="28"/>
          <w:szCs w:val="28"/>
          <w:lang w:val="zh-CN" w:eastAsia="zh-CN"/>
        </w:rPr>
        <w:t>2008年我校</w:t>
      </w:r>
      <w:r>
        <w:rPr>
          <w:rFonts w:hint="eastAsia" w:asciiTheme="minorEastAsia" w:hAnsiTheme="minorEastAsia" w:cstheme="minorEastAsia"/>
          <w:sz w:val="28"/>
          <w:szCs w:val="28"/>
          <w:lang w:val="en-US" w:eastAsia="zh-CN"/>
        </w:rPr>
        <w:t>以</w:t>
      </w:r>
      <w:r>
        <w:rPr>
          <w:rFonts w:hint="eastAsia" w:asciiTheme="minorEastAsia" w:hAnsiTheme="minorEastAsia" w:cstheme="minorEastAsia"/>
          <w:sz w:val="28"/>
          <w:szCs w:val="28"/>
          <w:lang w:val="zh-CN" w:eastAsia="zh-CN"/>
        </w:rPr>
        <w:t>原</w:t>
      </w:r>
      <w:r>
        <w:rPr>
          <w:rFonts w:hint="eastAsia" w:asciiTheme="minorEastAsia" w:hAnsiTheme="minorEastAsia" w:cstheme="minorEastAsia"/>
          <w:sz w:val="28"/>
          <w:szCs w:val="28"/>
          <w:lang w:val="en-US" w:eastAsia="zh-CN"/>
        </w:rPr>
        <w:t>骨干专业</w:t>
      </w:r>
      <w:r>
        <w:rPr>
          <w:rFonts w:hint="eastAsia" w:asciiTheme="minorEastAsia" w:hAnsiTheme="minorEastAsia" w:cstheme="minorEastAsia"/>
          <w:sz w:val="28"/>
          <w:szCs w:val="28"/>
          <w:lang w:val="zh-CN" w:eastAsia="zh-CN"/>
        </w:rPr>
        <w:t>计算机应用专业</w:t>
      </w:r>
      <w:r>
        <w:rPr>
          <w:rFonts w:hint="eastAsia" w:asciiTheme="minorEastAsia" w:hAnsiTheme="minorEastAsia" w:cstheme="minorEastAsia"/>
          <w:sz w:val="28"/>
          <w:szCs w:val="28"/>
          <w:lang w:val="en-US" w:eastAsia="zh-CN"/>
        </w:rPr>
        <w:t>为基础</w:t>
      </w:r>
      <w:r>
        <w:rPr>
          <w:rFonts w:hint="eastAsia" w:asciiTheme="minorEastAsia" w:hAnsiTheme="minorEastAsia" w:cstheme="minorEastAsia"/>
          <w:sz w:val="28"/>
          <w:szCs w:val="28"/>
          <w:lang w:val="zh-CN" w:eastAsia="zh-CN"/>
        </w:rPr>
        <w:t>，</w:t>
      </w:r>
      <w:r>
        <w:rPr>
          <w:rFonts w:hint="eastAsia" w:asciiTheme="minorEastAsia" w:hAnsiTheme="minorEastAsia" w:cstheme="minorEastAsia"/>
          <w:sz w:val="28"/>
          <w:szCs w:val="28"/>
          <w:lang w:val="en-US" w:eastAsia="zh-CN"/>
        </w:rPr>
        <w:t>经申报获批建立计算机网络技术应用专业。此后以计算机网络技术专业为主导，带动物联网技术应用、网络信息安全、数码产品维护、电子商务等五大专业形成信息化平台建设和应用的信息类专业群。</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在学校的统一规划下，本专业一直在迅速发展，曾于2014年被为评为郑州市重点建设专业，且2018年通过复评。作为我校的骨干专业，近三年来本专业招生规模一直保持在每年200人以上。</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近年来本专业教学团队也在迅速状大， 其中</w:t>
      </w:r>
      <w:r>
        <w:rPr>
          <w:rFonts w:hint="default" w:asciiTheme="minorEastAsia" w:hAnsiTheme="minorEastAsia" w:cstheme="minorEastAsia"/>
          <w:sz w:val="28"/>
          <w:szCs w:val="28"/>
          <w:lang w:val="en-US" w:eastAsia="zh-CN"/>
        </w:rPr>
        <w:t>“双师型”“一体化”专任专业课教师</w:t>
      </w:r>
      <w:r>
        <w:rPr>
          <w:rFonts w:hint="eastAsia" w:asciiTheme="minorEastAsia" w:hAnsiTheme="minorEastAsia" w:cstheme="minorEastAsia"/>
          <w:sz w:val="28"/>
          <w:szCs w:val="28"/>
          <w:lang w:val="en-US" w:eastAsia="zh-CN"/>
        </w:rPr>
        <w:t>22</w:t>
      </w:r>
      <w:r>
        <w:rPr>
          <w:rFonts w:hint="default" w:asciiTheme="minorEastAsia" w:hAnsiTheme="minorEastAsia" w:cstheme="minorEastAsia"/>
          <w:sz w:val="28"/>
          <w:szCs w:val="28"/>
          <w:lang w:val="en-US" w:eastAsia="zh-CN"/>
        </w:rPr>
        <w:t>人，</w:t>
      </w:r>
      <w:r>
        <w:rPr>
          <w:rFonts w:hint="eastAsia" w:asciiTheme="minorEastAsia" w:hAnsiTheme="minorEastAsia" w:cstheme="minorEastAsia"/>
          <w:sz w:val="28"/>
          <w:szCs w:val="28"/>
          <w:lang w:val="en-US" w:eastAsia="zh-CN"/>
        </w:rPr>
        <w:t>企业特聘专家1名，</w:t>
      </w:r>
      <w:r>
        <w:rPr>
          <w:rFonts w:hint="default" w:asciiTheme="minorEastAsia" w:hAnsiTheme="minorEastAsia" w:cstheme="minorEastAsia"/>
          <w:sz w:val="28"/>
          <w:szCs w:val="28"/>
          <w:lang w:val="en-US" w:eastAsia="zh-CN"/>
        </w:rPr>
        <w:t>其中高级职称12人，中级职称2人，初级职称1人</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省级技能工作室主持人</w:t>
      </w:r>
      <w:r>
        <w:rPr>
          <w:rFonts w:hint="eastAsia" w:asciiTheme="minorEastAsia" w:hAnsiTheme="minorEastAsia" w:cstheme="minorEastAsia"/>
          <w:sz w:val="28"/>
          <w:szCs w:val="28"/>
          <w:lang w:val="en-US" w:eastAsia="zh-CN"/>
        </w:rPr>
        <w:t>2人</w:t>
      </w:r>
      <w:r>
        <w:rPr>
          <w:rFonts w:hint="default" w:asciiTheme="minorEastAsia" w:hAnsiTheme="minorEastAsia" w:cstheme="minorEastAsia"/>
          <w:sz w:val="28"/>
          <w:szCs w:val="28"/>
          <w:lang w:val="en-US" w:eastAsia="zh-CN"/>
        </w:rPr>
        <w:t>，市级技能工作室主持人1人，有两位教师在省级教学能力大赛中获得一等奖</w:t>
      </w:r>
      <w:r>
        <w:rPr>
          <w:rFonts w:hint="eastAsia" w:asciiTheme="minorEastAsia" w:hAnsiTheme="minorEastAsia" w:cstheme="minorEastAsia"/>
          <w:sz w:val="28"/>
          <w:szCs w:val="28"/>
          <w:lang w:val="en-US" w:eastAsia="zh-CN"/>
        </w:rPr>
        <w:t>1人</w:t>
      </w:r>
      <w:r>
        <w:rPr>
          <w:rFonts w:hint="default" w:asciiTheme="minorEastAsia" w:hAnsiTheme="minorEastAsia" w:cstheme="minorEastAsia"/>
          <w:sz w:val="28"/>
          <w:szCs w:val="28"/>
          <w:lang w:val="en-US" w:eastAsia="zh-CN"/>
        </w:rPr>
        <w:t>，省级公开课获得一等奖</w:t>
      </w:r>
      <w:r>
        <w:rPr>
          <w:rFonts w:hint="eastAsia" w:asciiTheme="minorEastAsia" w:hAnsiTheme="minorEastAsia" w:cstheme="minorEastAsia"/>
          <w:sz w:val="28"/>
          <w:szCs w:val="28"/>
          <w:lang w:val="en-US" w:eastAsia="zh-CN"/>
        </w:rPr>
        <w:t>多人</w:t>
      </w:r>
      <w:r>
        <w:rPr>
          <w:rFonts w:hint="default" w:asciiTheme="minorEastAsia" w:hAnsiTheme="minorEastAsia" w:cstheme="minorEastAsia"/>
          <w:sz w:val="28"/>
          <w:szCs w:val="28"/>
          <w:lang w:val="en-US" w:eastAsia="zh-CN"/>
        </w:rPr>
        <w:t>，</w:t>
      </w:r>
      <w:r>
        <w:rPr>
          <w:rFonts w:hint="eastAsia" w:asciiTheme="minorEastAsia" w:hAnsiTheme="minorEastAsia" w:cstheme="minorEastAsia"/>
          <w:sz w:val="28"/>
          <w:szCs w:val="28"/>
          <w:lang w:val="en-US" w:eastAsia="zh-CN"/>
        </w:rPr>
        <w:t>多位教师辅导专</w:t>
      </w:r>
      <w:r>
        <w:rPr>
          <w:rFonts w:hint="default" w:asciiTheme="minorEastAsia" w:hAnsiTheme="minorEastAsia" w:cstheme="minorEastAsia"/>
          <w:sz w:val="28"/>
          <w:szCs w:val="28"/>
          <w:lang w:val="en-US" w:eastAsia="zh-CN"/>
        </w:rPr>
        <w:t>业技能大赛获得国、省、市一等奖，多人参与省市级课题研究多项。</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1.专业人才培养方案的科学制订  </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自2008年本专业成立以来，考虑中初级计算机网络管理岗位的技能要求和学生入学成绩、学习特点等，一直采用3+2办学和中专就业两路并行的方式，面向升学和就业两个出口，制订兼顾升学与专业的人才培养方案。</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们本着实时精准对标联办校人培方案、两校分阶段协同育人、中职奠基扎实以为高职顺利深造为主体，兼顾中小企业信息化建设与管理中的网络工程设计与施工、网络设备安装与调试、网络管理与维护、网站建设与维护、服务器配置与管理、网络产品服务与营销等岗位就业需要，文化课开全开足、专业课与高职校做好课程区分、强化基础项目动手能力培养的思路制订人才培养方案。每个学年年末我们会与联办校进行沟通，根据高职校的需求和本地区就业环境的新要求重审且进行必要的修订。</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2.课程教材建设特色</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我专业必修专业课程对标高职校需要开设11门； 为丰富学生的学习生活、了解网络新技术，对接就业新需要及及单招考试，开设有4门选修课程。我专业所有课程均选用教学理念新、内容设计科学、理实一体的国规教材、省规教材或是校企合作开发“岗课赛证”融通教材等。</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经历多年教学和技能大赛辅导积淀，由我校李向伟主编、李静等参编的《ACCESS数据库应用技术》、闫战伟主编、李静等参编《网络综合布线技术》等十三五规划教材，由我校李喜英主编《传感器与传感网技术应用》、《传感器原理及应用 》等教材均入选十四五省规教材。以上教材在我省及全国的应用均取得良好的反响。</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3.教学方式方法</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本专业深入推进实用型人才培养模式和立德树人的职业教育规范，在专业建设过程中，深入进行企业人才调研，人才培养方案的制定过程充分体现了“校企合作、工学结合、顶岗实习”的职业教育特点；课程建设方面，技能教学所占比重不断提高，骨干专业所占比例达总课时的四分之三；在教学模式上，实施了项目教学、仿真教学、岗位教学等，课堂活力显著提升。</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4.教学管理与实施的信息化水平</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通过专项资金支持、校企共建等方式，本专业群目前配备了16个通用计算机实训室，计算机网络及虚拟仿真、综合布线、计算机组装与维修、计算机电工实训室、物联网基础实训、物联网装调基础、数码产品维修等7个计算机网络专业骨干课程教学专用实训室。</w:t>
      </w: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639820" cy="2325370"/>
            <wp:effectExtent l="0" t="0" r="17780" b="17780"/>
            <wp:docPr id="2" name="图片 2" descr="05206479cc5917eb05e4ea338dace14"/>
            <wp:cNvGraphicFramePr/>
            <a:graphic xmlns:a="http://schemas.openxmlformats.org/drawingml/2006/main">
              <a:graphicData uri="http://schemas.openxmlformats.org/drawingml/2006/picture">
                <pic:pic xmlns:pic="http://schemas.openxmlformats.org/drawingml/2006/picture">
                  <pic:nvPicPr>
                    <pic:cNvPr id="2" name="图片 2" descr="05206479cc5917eb05e4ea338dace14"/>
                    <pic:cNvPicPr/>
                  </pic:nvPicPr>
                  <pic:blipFill>
                    <a:blip r:embed="rId4"/>
                    <a:stretch>
                      <a:fillRect/>
                    </a:stretch>
                  </pic:blipFill>
                  <pic:spPr>
                    <a:xfrm>
                      <a:off x="0" y="0"/>
                      <a:ext cx="3639820" cy="2325370"/>
                    </a:xfrm>
                    <a:prstGeom prst="rect">
                      <a:avLst/>
                    </a:prstGeom>
                  </pic:spPr>
                </pic:pic>
              </a:graphicData>
            </a:graphic>
          </wp:inline>
        </w:drawing>
      </w:r>
    </w:p>
    <w:p>
      <w:pPr>
        <w:jc w:val="center"/>
        <w:rPr>
          <w:rFonts w:hint="eastAsia"/>
          <w:lang w:val="en-US" w:eastAsia="zh-CN"/>
        </w:rPr>
      </w:pPr>
      <w:r>
        <w:rPr>
          <w:rFonts w:hint="eastAsia"/>
          <w:lang w:val="en-US" w:eastAsia="zh-CN"/>
        </w:rPr>
        <w:t>计算机网络实训室</w:t>
      </w:r>
    </w:p>
    <w:p>
      <w:pPr>
        <w:pStyle w:val="2"/>
        <w:jc w:val="center"/>
      </w:pPr>
      <w:r>
        <w:drawing>
          <wp:inline distT="0" distB="0" distL="114300" distR="114300">
            <wp:extent cx="3639820" cy="2279015"/>
            <wp:effectExtent l="0" t="0" r="1778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639820" cy="2279015"/>
                    </a:xfrm>
                    <a:prstGeom prst="rect">
                      <a:avLst/>
                    </a:prstGeom>
                    <a:noFill/>
                    <a:ln>
                      <a:noFill/>
                    </a:ln>
                  </pic:spPr>
                </pic:pic>
              </a:graphicData>
            </a:graphic>
          </wp:inline>
        </w:drawing>
      </w:r>
    </w:p>
    <w:p>
      <w:pPr>
        <w:jc w:val="center"/>
      </w:pPr>
      <w:r>
        <w:rPr>
          <w:rFonts w:hint="eastAsia"/>
          <w:lang w:val="en-US" w:eastAsia="zh-CN"/>
        </w:rPr>
        <w:t>许萌老师获得计算机网络装调优秀辅导教师</w:t>
      </w:r>
      <w:bookmarkStart w:id="0" w:name="_GoBack"/>
      <w:bookmarkEnd w:id="0"/>
    </w:p>
    <w:p>
      <w:pPr>
        <w:jc w:val="center"/>
        <w:rPr>
          <w:rFonts w:hint="default"/>
          <w:lang w:val="en-US" w:eastAsia="zh-CN"/>
        </w:rPr>
      </w:pPr>
    </w:p>
    <w:p>
      <w:pPr>
        <w:rPr>
          <w:rFonts w:hint="default"/>
          <w:b/>
          <w:bCs/>
          <w:color w:val="0000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2E122E80"/>
    <w:rsid w:val="036761A6"/>
    <w:rsid w:val="1D147CC1"/>
    <w:rsid w:val="1D517B25"/>
    <w:rsid w:val="1FA87F6E"/>
    <w:rsid w:val="2E122E80"/>
    <w:rsid w:val="59FD5EB2"/>
    <w:rsid w:val="68244D4A"/>
    <w:rsid w:val="76147E47"/>
    <w:rsid w:val="77125638"/>
    <w:rsid w:val="784748E4"/>
    <w:rsid w:val="7C3F4164"/>
    <w:rsid w:val="7E230E82"/>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eastAsia="仿宋" w:asciiTheme="majorAscii" w:hAnsiTheme="majorAscii" w:cstheme="majorBidi"/>
      <w:b/>
      <w:bCs/>
      <w:sz w:val="30"/>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2024-11-21T00:04:00Z</dcterms:created>
  <dc:creator>瑛</dc:creator>
  <cp:lastModifiedBy>赵国宁</cp:lastModifiedBy>
  <dcterms:modified xsi:type="dcterms:W3CDTF">2024-11-21T02:30:02Z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FFA5536A6DD343B7B46A26A535BCC02C_13</vt:lpwstr>
  </property>
</Properties>
</file>