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A4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2025年专项债券存续期信息公开</w:t>
      </w:r>
    </w:p>
    <w:p w14:paraId="62822FE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4F6AC0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郑州市电子信息工程学校新校区项目</w:t>
      </w:r>
    </w:p>
    <w:p w14:paraId="5FE53C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年专项债券存续期信息公开内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容</w:t>
      </w:r>
    </w:p>
    <w:p w14:paraId="14587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</w:p>
    <w:p w14:paraId="3D05E1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郑州市电子信息工程学校新校区项目，概算总投资53969万元，计划申请使用债券资金总额 48,500.00 万元。其中：2023年已使用 5,000.00 万元，2024 年已 发 行21,400.00万元，2025年计划申请使用22,100.00 万元，本次申请使用 1,600.00 万元。假设债券票面利率 4.50%，期限 30 年，在债券存续期每半年付息一次，债券存续期第 6-10 年每年的还本日偿还本金的 1.00%，第 11-20 年每年的还本日偿还本金的 2.00%，第 21-25 年每年的还本日偿还本金的 5.00%，第 26-30 年每年的还本日偿还本金的10.00%，已兑付本金不再计息。</w:t>
      </w:r>
    </w:p>
    <w:p w14:paraId="3992F1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截止202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年12月底，该项目的项目建议书、可研报告、用地预审与选址意见书、规划设计条件及初步设计已批复；施工许可证、用地规划许、不动产证、建筑工程规划许可证已办理，文勘工作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已完成；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现场累计完成投资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30641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万元，主体结构施工完成100%，二次结构施工完成100%，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内装修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已完成约7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%，室外工程完成约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40%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。</w:t>
      </w:r>
    </w:p>
    <w:p w14:paraId="74FC22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 w14:paraId="655222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2025年2月14日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A923C-941B-4A97-9716-3D3612DDA1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CB1009-A30D-492F-B1CF-6F2DA121C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2025-02-15T00:49:17Z</dcterms:created>
  <dc:creator>Administrator</dc:creator>
  <cp:lastModifiedBy>张亚芳</cp:lastModifiedBy>
  <dcterms:modified xsi:type="dcterms:W3CDTF">2025-02-15T00:54:51Z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eyJoZGlkIjoiYWE4YTY2NTRmNmNkNjRkM2UzMWE1Njk4NWZiNjAxNmUiLCJ1c2VySWQiOiIyNjA1MDY0OTIifQ==</vt:lpwstr>
  </property>
  <property fmtid="{D5CDD505-2E9C-101B-9397-08002B2CF9AE}" pid="4" name="ICV">
    <vt:lpwstr>58BBCF7000ED4C44A38D79020E9900BB_12</vt:lpwstr>
  </property>
</Properties>
</file>